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C43" w:rsidRDefault="00BE67C2" w:rsidP="00BE67C2">
      <w:pPr>
        <w:pStyle w:val="Heading1"/>
      </w:pPr>
      <w:r>
        <w:t>THE</w:t>
      </w:r>
      <w:r>
        <w:rPr>
          <w:spacing w:val="-8"/>
        </w:rPr>
        <w:t xml:space="preserve"> </w:t>
      </w:r>
      <w:r>
        <w:t>LONDON</w:t>
      </w:r>
      <w:r>
        <w:rPr>
          <w:spacing w:val="-8"/>
        </w:rPr>
        <w:t xml:space="preserve"> </w:t>
      </w:r>
      <w:r>
        <w:t>BOROUGH</w:t>
      </w:r>
      <w:r>
        <w:rPr>
          <w:spacing w:val="-8"/>
        </w:rPr>
        <w:t xml:space="preserve"> </w:t>
      </w:r>
      <w:r>
        <w:t>OF</w:t>
      </w:r>
      <w:r>
        <w:rPr>
          <w:spacing w:val="-7"/>
        </w:rPr>
        <w:t xml:space="preserve"> </w:t>
      </w:r>
      <w:r>
        <w:rPr>
          <w:spacing w:val="-2"/>
        </w:rPr>
        <w:t>SOUTHWARK</w:t>
      </w:r>
    </w:p>
    <w:p w:rsidR="00530C43" w:rsidRDefault="00530C43" w:rsidP="00BE67C2">
      <w:pPr>
        <w:pStyle w:val="Heading1"/>
      </w:pPr>
    </w:p>
    <w:p w:rsidR="00530C43" w:rsidRDefault="00BE67C2" w:rsidP="00BE67C2">
      <w:pPr>
        <w:pStyle w:val="Heading1"/>
      </w:pPr>
      <w:r>
        <w:t>TOWN</w:t>
      </w:r>
      <w:r>
        <w:rPr>
          <w:spacing w:val="-4"/>
        </w:rPr>
        <w:t xml:space="preserve"> </w:t>
      </w:r>
      <w:r>
        <w:t>AND</w:t>
      </w:r>
      <w:r>
        <w:rPr>
          <w:spacing w:val="-6"/>
        </w:rPr>
        <w:t xml:space="preserve"> </w:t>
      </w:r>
      <w:r>
        <w:t>COUNTRY</w:t>
      </w:r>
      <w:r>
        <w:rPr>
          <w:spacing w:val="-7"/>
        </w:rPr>
        <w:t xml:space="preserve"> </w:t>
      </w:r>
      <w:r>
        <w:t>PLANNING</w:t>
      </w:r>
      <w:r>
        <w:rPr>
          <w:spacing w:val="-1"/>
        </w:rPr>
        <w:t xml:space="preserve"> </w:t>
      </w:r>
      <w:r>
        <w:t>ACT</w:t>
      </w:r>
      <w:r>
        <w:rPr>
          <w:spacing w:val="-7"/>
        </w:rPr>
        <w:t xml:space="preserve"> </w:t>
      </w:r>
      <w:r>
        <w:t>1990</w:t>
      </w:r>
      <w:r>
        <w:rPr>
          <w:spacing w:val="-5"/>
        </w:rPr>
        <w:t xml:space="preserve"> </w:t>
      </w:r>
      <w:r>
        <w:t>(as</w:t>
      </w:r>
      <w:r>
        <w:rPr>
          <w:spacing w:val="-7"/>
        </w:rPr>
        <w:t xml:space="preserve"> </w:t>
      </w:r>
      <w:r>
        <w:rPr>
          <w:spacing w:val="-2"/>
        </w:rPr>
        <w:t>amended)</w:t>
      </w:r>
    </w:p>
    <w:p w:rsidR="00530C43" w:rsidRDefault="00530C43">
      <w:pPr>
        <w:pStyle w:val="BodyText"/>
        <w:rPr>
          <w:b/>
        </w:rPr>
      </w:pPr>
    </w:p>
    <w:p w:rsidR="00530C43" w:rsidRDefault="00BE67C2" w:rsidP="00BE67C2">
      <w:pPr>
        <w:pStyle w:val="Heading1"/>
        <w:jc w:val="left"/>
      </w:pPr>
      <w:r>
        <w:t>THE</w:t>
      </w:r>
      <w:r>
        <w:rPr>
          <w:spacing w:val="-3"/>
        </w:rPr>
        <w:t xml:space="preserve"> </w:t>
      </w:r>
      <w:r>
        <w:t>LONDON</w:t>
      </w:r>
      <w:r>
        <w:rPr>
          <w:spacing w:val="-3"/>
        </w:rPr>
        <w:t xml:space="preserve"> </w:t>
      </w:r>
      <w:r>
        <w:t>BOROUGH</w:t>
      </w:r>
      <w:r>
        <w:rPr>
          <w:spacing w:val="-3"/>
        </w:rPr>
        <w:t xml:space="preserve"> </w:t>
      </w:r>
      <w:r>
        <w:t>OF</w:t>
      </w:r>
      <w:r>
        <w:rPr>
          <w:spacing w:val="-3"/>
        </w:rPr>
        <w:t xml:space="preserve"> </w:t>
      </w:r>
      <w:r>
        <w:t>SOUTHWARK</w:t>
      </w:r>
      <w:r>
        <w:rPr>
          <w:spacing w:val="-2"/>
        </w:rPr>
        <w:t xml:space="preserve"> </w:t>
      </w:r>
      <w:r w:rsidRPr="00BE67C2">
        <w:rPr>
          <w:b w:val="0"/>
        </w:rPr>
        <w:t>hereby</w:t>
      </w:r>
      <w:r w:rsidRPr="00BE67C2">
        <w:rPr>
          <w:b w:val="0"/>
          <w:spacing w:val="-6"/>
        </w:rPr>
        <w:t xml:space="preserve"> </w:t>
      </w:r>
      <w:r w:rsidRPr="00BE67C2">
        <w:rPr>
          <w:b w:val="0"/>
        </w:rPr>
        <w:t>gives</w:t>
      </w:r>
      <w:bookmarkStart w:id="0" w:name="_GoBack"/>
      <w:bookmarkEnd w:id="0"/>
      <w:r w:rsidRPr="00BE67C2">
        <w:rPr>
          <w:b w:val="0"/>
          <w:spacing w:val="-3"/>
        </w:rPr>
        <w:t xml:space="preserve"> </w:t>
      </w:r>
      <w:r w:rsidRPr="00BE67C2">
        <w:rPr>
          <w:b w:val="0"/>
        </w:rPr>
        <w:t>notice</w:t>
      </w:r>
      <w:r w:rsidRPr="00BE67C2">
        <w:rPr>
          <w:b w:val="0"/>
          <w:spacing w:val="-3"/>
        </w:rPr>
        <w:t xml:space="preserve"> </w:t>
      </w:r>
      <w:r w:rsidRPr="00BE67C2">
        <w:rPr>
          <w:b w:val="0"/>
        </w:rPr>
        <w:t>that</w:t>
      </w:r>
      <w:r w:rsidRPr="00BE67C2">
        <w:rPr>
          <w:b w:val="0"/>
          <w:spacing w:val="-3"/>
        </w:rPr>
        <w:t xml:space="preserve"> </w:t>
      </w:r>
      <w:r w:rsidRPr="00BE67C2">
        <w:rPr>
          <w:b w:val="0"/>
        </w:rPr>
        <w:t>it</w:t>
      </w:r>
      <w:r w:rsidRPr="00BE67C2">
        <w:rPr>
          <w:b w:val="0"/>
          <w:spacing w:val="-3"/>
        </w:rPr>
        <w:t xml:space="preserve"> </w:t>
      </w:r>
      <w:r w:rsidRPr="00BE67C2">
        <w:rPr>
          <w:b w:val="0"/>
        </w:rPr>
        <w:t>has</w:t>
      </w:r>
      <w:r w:rsidRPr="00BE67C2">
        <w:rPr>
          <w:b w:val="0"/>
          <w:spacing w:val="-5"/>
        </w:rPr>
        <w:t xml:space="preserve"> </w:t>
      </w:r>
      <w:r w:rsidRPr="00BE67C2">
        <w:rPr>
          <w:b w:val="0"/>
        </w:rPr>
        <w:t xml:space="preserve">made an Order under Section 247 of the above Act to </w:t>
      </w:r>
      <w:proofErr w:type="spellStart"/>
      <w:r w:rsidRPr="00BE67C2">
        <w:rPr>
          <w:b w:val="0"/>
        </w:rPr>
        <w:t>authorise</w:t>
      </w:r>
      <w:proofErr w:type="spellEnd"/>
      <w:r w:rsidRPr="00BE67C2">
        <w:rPr>
          <w:b w:val="0"/>
        </w:rPr>
        <w:t xml:space="preserve"> the stopping up of the following areas of public highway shown hatched black on the drawing attached to the Order and labelled Canada Water Dock.</w:t>
      </w:r>
    </w:p>
    <w:p w:rsidR="00530C43" w:rsidRDefault="00530C43">
      <w:pPr>
        <w:pStyle w:val="BodyText"/>
        <w:spacing w:before="9"/>
        <w:rPr>
          <w:sz w:val="23"/>
        </w:rPr>
      </w:pPr>
    </w:p>
    <w:p w:rsidR="00530C43" w:rsidRDefault="00BE67C2" w:rsidP="00BE67C2">
      <w:pPr>
        <w:pStyle w:val="ListParagraph"/>
        <w:numPr>
          <w:ilvl w:val="0"/>
          <w:numId w:val="1"/>
        </w:numPr>
        <w:tabs>
          <w:tab w:val="left" w:pos="821"/>
        </w:tabs>
        <w:ind w:right="326"/>
        <w:jc w:val="both"/>
        <w:rPr>
          <w:i/>
          <w:sz w:val="24"/>
        </w:rPr>
      </w:pPr>
      <w:r>
        <w:rPr>
          <w:i/>
          <w:sz w:val="24"/>
        </w:rPr>
        <w:t>The first area of highway to be stopped up is i</w:t>
      </w:r>
      <w:r>
        <w:rPr>
          <w:i/>
          <w:sz w:val="24"/>
        </w:rPr>
        <w:t>n the London Borough of Southwark</w:t>
      </w:r>
      <w:r>
        <w:rPr>
          <w:i/>
          <w:spacing w:val="-3"/>
          <w:sz w:val="24"/>
        </w:rPr>
        <w:t xml:space="preserve"> </w:t>
      </w:r>
      <w:r>
        <w:rPr>
          <w:i/>
          <w:sz w:val="24"/>
        </w:rPr>
        <w:t>and</w:t>
      </w:r>
      <w:r>
        <w:rPr>
          <w:i/>
          <w:spacing w:val="-2"/>
          <w:sz w:val="24"/>
        </w:rPr>
        <w:t xml:space="preserve"> </w:t>
      </w:r>
      <w:r>
        <w:rPr>
          <w:i/>
          <w:sz w:val="24"/>
        </w:rPr>
        <w:t>can</w:t>
      </w:r>
      <w:r>
        <w:rPr>
          <w:i/>
          <w:spacing w:val="-2"/>
          <w:sz w:val="24"/>
        </w:rPr>
        <w:t xml:space="preserve"> </w:t>
      </w:r>
      <w:r>
        <w:rPr>
          <w:i/>
          <w:sz w:val="24"/>
        </w:rPr>
        <w:t>be</w:t>
      </w:r>
      <w:r>
        <w:rPr>
          <w:i/>
          <w:spacing w:val="-4"/>
          <w:sz w:val="24"/>
        </w:rPr>
        <w:t xml:space="preserve"> </w:t>
      </w:r>
      <w:r>
        <w:rPr>
          <w:i/>
          <w:sz w:val="24"/>
        </w:rPr>
        <w:t>described</w:t>
      </w:r>
      <w:r>
        <w:rPr>
          <w:i/>
          <w:spacing w:val="-4"/>
          <w:sz w:val="24"/>
        </w:rPr>
        <w:t xml:space="preserve"> </w:t>
      </w:r>
      <w:r>
        <w:rPr>
          <w:i/>
          <w:sz w:val="24"/>
        </w:rPr>
        <w:t>as</w:t>
      </w:r>
      <w:r>
        <w:rPr>
          <w:i/>
          <w:spacing w:val="-4"/>
          <w:sz w:val="24"/>
        </w:rPr>
        <w:t xml:space="preserve"> </w:t>
      </w:r>
      <w:r>
        <w:rPr>
          <w:i/>
          <w:sz w:val="24"/>
        </w:rPr>
        <w:t>an</w:t>
      </w:r>
      <w:r>
        <w:rPr>
          <w:i/>
          <w:spacing w:val="-4"/>
          <w:sz w:val="24"/>
        </w:rPr>
        <w:t xml:space="preserve"> </w:t>
      </w:r>
      <w:r>
        <w:rPr>
          <w:i/>
          <w:sz w:val="24"/>
        </w:rPr>
        <w:t>area</w:t>
      </w:r>
      <w:r>
        <w:rPr>
          <w:i/>
          <w:spacing w:val="-3"/>
          <w:sz w:val="24"/>
        </w:rPr>
        <w:t xml:space="preserve"> </w:t>
      </w:r>
      <w:r>
        <w:rPr>
          <w:i/>
          <w:sz w:val="24"/>
        </w:rPr>
        <w:t>which</w:t>
      </w:r>
      <w:r>
        <w:rPr>
          <w:i/>
          <w:spacing w:val="-4"/>
          <w:sz w:val="24"/>
        </w:rPr>
        <w:t xml:space="preserve"> </w:t>
      </w:r>
      <w:r>
        <w:rPr>
          <w:i/>
          <w:sz w:val="24"/>
        </w:rPr>
        <w:t>measures</w:t>
      </w:r>
      <w:r>
        <w:rPr>
          <w:i/>
          <w:spacing w:val="-2"/>
          <w:sz w:val="24"/>
        </w:rPr>
        <w:t xml:space="preserve"> </w:t>
      </w:r>
      <w:r>
        <w:rPr>
          <w:i/>
          <w:sz w:val="24"/>
        </w:rPr>
        <w:t>49m</w:t>
      </w:r>
      <w:r>
        <w:rPr>
          <w:i/>
          <w:position w:val="7"/>
          <w:sz w:val="16"/>
        </w:rPr>
        <w:t>2</w:t>
      </w:r>
      <w:r>
        <w:rPr>
          <w:i/>
          <w:sz w:val="24"/>
        </w:rPr>
        <w:t>,</w:t>
      </w:r>
      <w:r>
        <w:rPr>
          <w:i/>
          <w:spacing w:val="-1"/>
          <w:sz w:val="24"/>
        </w:rPr>
        <w:t xml:space="preserve"> </w:t>
      </w:r>
      <w:r>
        <w:rPr>
          <w:i/>
          <w:sz w:val="24"/>
        </w:rPr>
        <w:t>is</w:t>
      </w:r>
      <w:r>
        <w:rPr>
          <w:i/>
          <w:spacing w:val="-3"/>
          <w:sz w:val="24"/>
        </w:rPr>
        <w:t xml:space="preserve"> </w:t>
      </w:r>
      <w:r>
        <w:rPr>
          <w:i/>
          <w:sz w:val="24"/>
        </w:rPr>
        <w:t xml:space="preserve">12.34 </w:t>
      </w:r>
      <w:proofErr w:type="spellStart"/>
      <w:r>
        <w:rPr>
          <w:i/>
          <w:sz w:val="24"/>
        </w:rPr>
        <w:t>metres</w:t>
      </w:r>
      <w:proofErr w:type="spellEnd"/>
      <w:r>
        <w:rPr>
          <w:i/>
          <w:sz w:val="24"/>
        </w:rPr>
        <w:t xml:space="preserve"> wide at its widest point (between points 4 and 5 on the plan) and 6 </w:t>
      </w:r>
      <w:proofErr w:type="spellStart"/>
      <w:r>
        <w:rPr>
          <w:i/>
          <w:sz w:val="24"/>
        </w:rPr>
        <w:t>metres</w:t>
      </w:r>
      <w:proofErr w:type="spellEnd"/>
      <w:r>
        <w:rPr>
          <w:i/>
          <w:sz w:val="24"/>
        </w:rPr>
        <w:t xml:space="preserve"> long at its longest point.</w:t>
      </w:r>
    </w:p>
    <w:p w:rsidR="00530C43" w:rsidRDefault="00530C43" w:rsidP="00BE67C2">
      <w:pPr>
        <w:pStyle w:val="BodyText"/>
        <w:spacing w:before="1"/>
        <w:jc w:val="both"/>
        <w:rPr>
          <w:i/>
        </w:rPr>
      </w:pPr>
    </w:p>
    <w:p w:rsidR="00530C43" w:rsidRDefault="00BE67C2" w:rsidP="00BE67C2">
      <w:pPr>
        <w:pStyle w:val="ListParagraph"/>
        <w:numPr>
          <w:ilvl w:val="0"/>
          <w:numId w:val="1"/>
        </w:numPr>
        <w:tabs>
          <w:tab w:val="left" w:pos="821"/>
        </w:tabs>
        <w:jc w:val="both"/>
        <w:rPr>
          <w:i/>
          <w:sz w:val="24"/>
        </w:rPr>
      </w:pPr>
      <w:r>
        <w:rPr>
          <w:i/>
          <w:sz w:val="24"/>
        </w:rPr>
        <w:t>The second area of highway to be stopped up is in the London Borough of Southwark and can be</w:t>
      </w:r>
      <w:r>
        <w:rPr>
          <w:i/>
          <w:spacing w:val="-1"/>
          <w:sz w:val="24"/>
        </w:rPr>
        <w:t xml:space="preserve"> </w:t>
      </w:r>
      <w:r>
        <w:rPr>
          <w:i/>
          <w:sz w:val="24"/>
        </w:rPr>
        <w:t>described</w:t>
      </w:r>
      <w:r>
        <w:rPr>
          <w:i/>
          <w:spacing w:val="-1"/>
          <w:sz w:val="24"/>
        </w:rPr>
        <w:t xml:space="preserve"> </w:t>
      </w:r>
      <w:r>
        <w:rPr>
          <w:i/>
          <w:sz w:val="24"/>
        </w:rPr>
        <w:t>as</w:t>
      </w:r>
      <w:r>
        <w:rPr>
          <w:i/>
          <w:spacing w:val="-1"/>
          <w:sz w:val="24"/>
        </w:rPr>
        <w:t xml:space="preserve"> </w:t>
      </w:r>
      <w:r>
        <w:rPr>
          <w:i/>
          <w:sz w:val="24"/>
        </w:rPr>
        <w:t>an</w:t>
      </w:r>
      <w:r>
        <w:rPr>
          <w:i/>
          <w:spacing w:val="-1"/>
          <w:sz w:val="24"/>
        </w:rPr>
        <w:t xml:space="preserve"> </w:t>
      </w:r>
      <w:r>
        <w:rPr>
          <w:i/>
          <w:sz w:val="24"/>
        </w:rPr>
        <w:t>area which</w:t>
      </w:r>
      <w:r>
        <w:rPr>
          <w:i/>
          <w:spacing w:val="40"/>
          <w:sz w:val="24"/>
        </w:rPr>
        <w:t xml:space="preserve"> </w:t>
      </w:r>
      <w:r>
        <w:rPr>
          <w:i/>
          <w:sz w:val="24"/>
        </w:rPr>
        <w:t>measures 63m</w:t>
      </w:r>
      <w:r>
        <w:rPr>
          <w:i/>
          <w:position w:val="7"/>
          <w:sz w:val="16"/>
        </w:rPr>
        <w:t>2</w:t>
      </w:r>
      <w:r>
        <w:rPr>
          <w:i/>
          <w:sz w:val="24"/>
        </w:rPr>
        <w:t xml:space="preserve">, is 15.91 </w:t>
      </w:r>
      <w:proofErr w:type="spellStart"/>
      <w:r>
        <w:rPr>
          <w:i/>
          <w:sz w:val="24"/>
        </w:rPr>
        <w:t>metres</w:t>
      </w:r>
      <w:proofErr w:type="spellEnd"/>
      <w:r>
        <w:rPr>
          <w:i/>
          <w:spacing w:val="-3"/>
          <w:sz w:val="24"/>
        </w:rPr>
        <w:t xml:space="preserve"> </w:t>
      </w:r>
      <w:r>
        <w:rPr>
          <w:i/>
          <w:sz w:val="24"/>
        </w:rPr>
        <w:t>long</w:t>
      </w:r>
      <w:r>
        <w:rPr>
          <w:i/>
          <w:spacing w:val="-3"/>
          <w:sz w:val="24"/>
        </w:rPr>
        <w:t xml:space="preserve"> </w:t>
      </w:r>
      <w:r>
        <w:rPr>
          <w:i/>
          <w:sz w:val="24"/>
        </w:rPr>
        <w:t>at</w:t>
      </w:r>
      <w:r>
        <w:rPr>
          <w:i/>
          <w:spacing w:val="-4"/>
          <w:sz w:val="24"/>
        </w:rPr>
        <w:t xml:space="preserve"> </w:t>
      </w:r>
      <w:r>
        <w:rPr>
          <w:i/>
          <w:sz w:val="24"/>
        </w:rPr>
        <w:t>its</w:t>
      </w:r>
      <w:r>
        <w:rPr>
          <w:i/>
          <w:spacing w:val="-3"/>
          <w:sz w:val="24"/>
        </w:rPr>
        <w:t xml:space="preserve"> </w:t>
      </w:r>
      <w:r>
        <w:rPr>
          <w:i/>
          <w:sz w:val="24"/>
        </w:rPr>
        <w:t>longest</w:t>
      </w:r>
      <w:r>
        <w:rPr>
          <w:i/>
          <w:spacing w:val="-3"/>
          <w:sz w:val="24"/>
        </w:rPr>
        <w:t xml:space="preserve"> </w:t>
      </w:r>
      <w:r>
        <w:rPr>
          <w:i/>
          <w:sz w:val="24"/>
        </w:rPr>
        <w:t>point</w:t>
      </w:r>
      <w:r>
        <w:rPr>
          <w:i/>
          <w:spacing w:val="-3"/>
          <w:sz w:val="24"/>
        </w:rPr>
        <w:t xml:space="preserve"> </w:t>
      </w:r>
      <w:r>
        <w:rPr>
          <w:i/>
          <w:sz w:val="24"/>
        </w:rPr>
        <w:t>(between</w:t>
      </w:r>
      <w:r>
        <w:rPr>
          <w:i/>
          <w:spacing w:val="-3"/>
          <w:sz w:val="24"/>
        </w:rPr>
        <w:t xml:space="preserve"> </w:t>
      </w:r>
      <w:r>
        <w:rPr>
          <w:i/>
          <w:sz w:val="24"/>
        </w:rPr>
        <w:t>points</w:t>
      </w:r>
      <w:r>
        <w:rPr>
          <w:i/>
          <w:spacing w:val="-3"/>
          <w:sz w:val="24"/>
        </w:rPr>
        <w:t xml:space="preserve"> </w:t>
      </w:r>
      <w:r>
        <w:rPr>
          <w:i/>
          <w:sz w:val="24"/>
        </w:rPr>
        <w:t>7</w:t>
      </w:r>
      <w:r>
        <w:rPr>
          <w:i/>
          <w:spacing w:val="-4"/>
          <w:sz w:val="24"/>
        </w:rPr>
        <w:t xml:space="preserve"> </w:t>
      </w:r>
      <w:r>
        <w:rPr>
          <w:i/>
          <w:sz w:val="24"/>
        </w:rPr>
        <w:t>and</w:t>
      </w:r>
      <w:r>
        <w:rPr>
          <w:i/>
          <w:spacing w:val="-3"/>
          <w:sz w:val="24"/>
        </w:rPr>
        <w:t xml:space="preserve"> </w:t>
      </w:r>
      <w:r>
        <w:rPr>
          <w:i/>
          <w:sz w:val="24"/>
        </w:rPr>
        <w:t>8</w:t>
      </w:r>
      <w:r>
        <w:rPr>
          <w:i/>
          <w:spacing w:val="-3"/>
          <w:sz w:val="24"/>
        </w:rPr>
        <w:t xml:space="preserve"> </w:t>
      </w:r>
      <w:r>
        <w:rPr>
          <w:i/>
          <w:sz w:val="24"/>
        </w:rPr>
        <w:t>on</w:t>
      </w:r>
      <w:r>
        <w:rPr>
          <w:i/>
          <w:spacing w:val="-4"/>
          <w:sz w:val="24"/>
        </w:rPr>
        <w:t xml:space="preserve"> </w:t>
      </w:r>
      <w:r>
        <w:rPr>
          <w:i/>
          <w:sz w:val="24"/>
        </w:rPr>
        <w:t>the</w:t>
      </w:r>
      <w:r>
        <w:rPr>
          <w:i/>
          <w:spacing w:val="-4"/>
          <w:sz w:val="24"/>
        </w:rPr>
        <w:t xml:space="preserve"> </w:t>
      </w:r>
      <w:r>
        <w:rPr>
          <w:i/>
          <w:sz w:val="24"/>
        </w:rPr>
        <w:t>plan)</w:t>
      </w:r>
      <w:r>
        <w:rPr>
          <w:i/>
          <w:spacing w:val="-3"/>
          <w:sz w:val="24"/>
        </w:rPr>
        <w:t xml:space="preserve"> </w:t>
      </w:r>
      <w:r>
        <w:rPr>
          <w:i/>
          <w:sz w:val="24"/>
        </w:rPr>
        <w:t>and</w:t>
      </w:r>
      <w:r>
        <w:rPr>
          <w:i/>
          <w:spacing w:val="-4"/>
          <w:sz w:val="24"/>
        </w:rPr>
        <w:t xml:space="preserve"> </w:t>
      </w:r>
      <w:r>
        <w:rPr>
          <w:i/>
          <w:sz w:val="24"/>
        </w:rPr>
        <w:t xml:space="preserve">6.45 </w:t>
      </w:r>
      <w:proofErr w:type="spellStart"/>
      <w:proofErr w:type="gramStart"/>
      <w:r>
        <w:rPr>
          <w:i/>
          <w:sz w:val="24"/>
        </w:rPr>
        <w:t>metres</w:t>
      </w:r>
      <w:proofErr w:type="spellEnd"/>
      <w:proofErr w:type="gramEnd"/>
      <w:r>
        <w:rPr>
          <w:i/>
          <w:sz w:val="24"/>
        </w:rPr>
        <w:t xml:space="preserve"> wide at its widest point.</w:t>
      </w:r>
    </w:p>
    <w:p w:rsidR="00530C43" w:rsidRDefault="00530C43">
      <w:pPr>
        <w:pStyle w:val="BodyText"/>
        <w:spacing w:before="2"/>
        <w:rPr>
          <w:i/>
        </w:rPr>
      </w:pPr>
    </w:p>
    <w:p w:rsidR="00530C43" w:rsidRDefault="00BE67C2" w:rsidP="00BE67C2">
      <w:pPr>
        <w:pStyle w:val="BodyText"/>
        <w:ind w:left="100" w:right="165"/>
        <w:jc w:val="both"/>
      </w:pPr>
      <w:proofErr w:type="gramStart"/>
      <w:r>
        <w:t>The stopping up has been made to enable the development described in the Schedule</w:t>
      </w:r>
      <w:r>
        <w:rPr>
          <w:spacing w:val="-3"/>
        </w:rPr>
        <w:t xml:space="preserve"> </w:t>
      </w:r>
      <w:r>
        <w:t>to</w:t>
      </w:r>
      <w:r>
        <w:rPr>
          <w:spacing w:val="-3"/>
        </w:rPr>
        <w:t xml:space="preserve"> </w:t>
      </w:r>
      <w:r>
        <w:t>this</w:t>
      </w:r>
      <w:r>
        <w:rPr>
          <w:spacing w:val="-4"/>
        </w:rPr>
        <w:t xml:space="preserve"> </w:t>
      </w:r>
      <w:r>
        <w:t>Notice</w:t>
      </w:r>
      <w:r>
        <w:rPr>
          <w:spacing w:val="-5"/>
        </w:rPr>
        <w:t xml:space="preserve"> </w:t>
      </w:r>
      <w:r>
        <w:t>to</w:t>
      </w:r>
      <w:r>
        <w:rPr>
          <w:spacing w:val="-3"/>
        </w:rPr>
        <w:t xml:space="preserve"> </w:t>
      </w:r>
      <w:r>
        <w:t>be</w:t>
      </w:r>
      <w:r>
        <w:rPr>
          <w:spacing w:val="-3"/>
        </w:rPr>
        <w:t xml:space="preserve"> </w:t>
      </w:r>
      <w:r>
        <w:t>carried</w:t>
      </w:r>
      <w:r>
        <w:rPr>
          <w:spacing w:val="-4"/>
        </w:rPr>
        <w:t xml:space="preserve"> </w:t>
      </w:r>
      <w:r>
        <w:t>out</w:t>
      </w:r>
      <w:r>
        <w:rPr>
          <w:spacing w:val="-3"/>
        </w:rPr>
        <w:t xml:space="preserve"> </w:t>
      </w:r>
      <w:r>
        <w:t>in</w:t>
      </w:r>
      <w:r>
        <w:rPr>
          <w:spacing w:val="-3"/>
        </w:rPr>
        <w:t xml:space="preserve"> </w:t>
      </w:r>
      <w:r>
        <w:t>accordance</w:t>
      </w:r>
      <w:r>
        <w:rPr>
          <w:spacing w:val="-3"/>
        </w:rPr>
        <w:t xml:space="preserve"> </w:t>
      </w:r>
      <w:r>
        <w:t>with</w:t>
      </w:r>
      <w:r>
        <w:rPr>
          <w:spacing w:val="-3"/>
        </w:rPr>
        <w:t xml:space="preserve"> </w:t>
      </w:r>
      <w:r>
        <w:t>the</w:t>
      </w:r>
      <w:r>
        <w:rPr>
          <w:spacing w:val="-5"/>
        </w:rPr>
        <w:t xml:space="preserve"> </w:t>
      </w:r>
      <w:r>
        <w:t>planning</w:t>
      </w:r>
      <w:r>
        <w:rPr>
          <w:spacing w:val="-4"/>
        </w:rPr>
        <w:t xml:space="preserve"> </w:t>
      </w:r>
      <w:r>
        <w:t>permission granted under Part III of the Act by the Council under local planning authority reference No. 18/AP/1604 (outline) on 29 May 2020 and 21/AP/3794 (reserved matters) on 20 January 2022.</w:t>
      </w:r>
      <w:proofErr w:type="gramEnd"/>
    </w:p>
    <w:p w:rsidR="00530C43" w:rsidRDefault="00530C43">
      <w:pPr>
        <w:pStyle w:val="BodyText"/>
      </w:pPr>
    </w:p>
    <w:p w:rsidR="00BE67C2" w:rsidRDefault="00BE67C2" w:rsidP="00BE67C2">
      <w:pPr>
        <w:pStyle w:val="Heading1"/>
        <w:jc w:val="both"/>
        <w:rPr>
          <w:b w:val="0"/>
        </w:rPr>
      </w:pPr>
      <w:r>
        <w:t>COPIES</w:t>
      </w:r>
      <w:r>
        <w:rPr>
          <w:spacing w:val="-7"/>
        </w:rPr>
        <w:t xml:space="preserve"> </w:t>
      </w:r>
      <w:r>
        <w:t>OF</w:t>
      </w:r>
      <w:r>
        <w:rPr>
          <w:spacing w:val="-4"/>
        </w:rPr>
        <w:t xml:space="preserve"> </w:t>
      </w:r>
      <w:r>
        <w:t>THE</w:t>
      </w:r>
      <w:r>
        <w:rPr>
          <w:spacing w:val="-4"/>
        </w:rPr>
        <w:t xml:space="preserve"> </w:t>
      </w:r>
      <w:r>
        <w:t>ORDER</w:t>
      </w:r>
      <w:r>
        <w:rPr>
          <w:spacing w:val="-3"/>
        </w:rPr>
        <w:t xml:space="preserve"> </w:t>
      </w:r>
      <w:r>
        <w:t>AND</w:t>
      </w:r>
      <w:r>
        <w:rPr>
          <w:spacing w:val="-5"/>
        </w:rPr>
        <w:t xml:space="preserve"> </w:t>
      </w:r>
      <w:r>
        <w:t>THE</w:t>
      </w:r>
      <w:r>
        <w:rPr>
          <w:spacing w:val="-4"/>
        </w:rPr>
        <w:t xml:space="preserve"> </w:t>
      </w:r>
      <w:r>
        <w:t>RELEVANT</w:t>
      </w:r>
      <w:r>
        <w:rPr>
          <w:spacing w:val="-5"/>
        </w:rPr>
        <w:t xml:space="preserve"> </w:t>
      </w:r>
      <w:r>
        <w:t>PLAN</w:t>
      </w:r>
      <w:r>
        <w:rPr>
          <w:spacing w:val="-2"/>
        </w:rPr>
        <w:t xml:space="preserve"> </w:t>
      </w:r>
      <w:r>
        <w:t>MAY</w:t>
      </w:r>
      <w:r>
        <w:rPr>
          <w:spacing w:val="-4"/>
        </w:rPr>
        <w:t xml:space="preserve"> </w:t>
      </w:r>
      <w:r>
        <w:t>BE</w:t>
      </w:r>
      <w:r>
        <w:rPr>
          <w:spacing w:val="-4"/>
        </w:rPr>
        <w:t xml:space="preserve"> </w:t>
      </w:r>
      <w:r>
        <w:rPr>
          <w:spacing w:val="-2"/>
        </w:rPr>
        <w:t xml:space="preserve">INSPECTED </w:t>
      </w:r>
      <w:r>
        <w:t>F</w:t>
      </w:r>
      <w:r>
        <w:t xml:space="preserve">REE OF CHARGE </w:t>
      </w:r>
      <w:r w:rsidRPr="00BE67C2">
        <w:rPr>
          <w:b w:val="0"/>
        </w:rPr>
        <w:t xml:space="preserve">by way of appointment at 160 </w:t>
      </w:r>
      <w:proofErr w:type="spellStart"/>
      <w:r w:rsidRPr="00BE67C2">
        <w:rPr>
          <w:b w:val="0"/>
        </w:rPr>
        <w:t>Tooley</w:t>
      </w:r>
      <w:proofErr w:type="spellEnd"/>
      <w:r w:rsidRPr="00BE67C2">
        <w:rPr>
          <w:b w:val="0"/>
        </w:rPr>
        <w:t xml:space="preserve"> Street, London SE1 2TZ by calling 020 7525 2135 and referring to the Canada Water Dock Stopping </w:t>
      </w:r>
      <w:proofErr w:type="gramStart"/>
      <w:r w:rsidRPr="00BE67C2">
        <w:rPr>
          <w:b w:val="0"/>
        </w:rPr>
        <w:t>Up</w:t>
      </w:r>
      <w:proofErr w:type="gramEnd"/>
      <w:r w:rsidRPr="00BE67C2">
        <w:rPr>
          <w:b w:val="0"/>
        </w:rPr>
        <w:t xml:space="preserve"> Order. A copy may also be viewed on the Council’s website at</w:t>
      </w:r>
    </w:p>
    <w:p w:rsidR="00530C43" w:rsidRPr="00BE67C2" w:rsidRDefault="00BE67C2" w:rsidP="00BE67C2">
      <w:pPr>
        <w:pStyle w:val="Heading1"/>
        <w:jc w:val="both"/>
        <w:rPr>
          <w:b w:val="0"/>
        </w:rPr>
      </w:pPr>
      <w:hyperlink r:id="rId5">
        <w:r w:rsidRPr="00BE67C2">
          <w:rPr>
            <w:b w:val="0"/>
            <w:color w:val="0562C1"/>
            <w:spacing w:val="-2"/>
            <w:u w:val="single" w:color="0562C1"/>
          </w:rPr>
          <w:t>https://www.southwark.gov.uk/transport-and-roads/traffic-orders-licensing-strategies-</w:t>
        </w:r>
      </w:hyperlink>
      <w:r w:rsidRPr="00BE67C2">
        <w:rPr>
          <w:b w:val="0"/>
          <w:color w:val="0562C1"/>
          <w:spacing w:val="-2"/>
        </w:rPr>
        <w:t xml:space="preserve"> </w:t>
      </w:r>
      <w:hyperlink r:id="rId6">
        <w:r w:rsidRPr="00BE67C2">
          <w:rPr>
            <w:b w:val="0"/>
            <w:color w:val="0562C1"/>
            <w:spacing w:val="-2"/>
            <w:u w:val="single" w:color="0562C1"/>
          </w:rPr>
          <w:t>and-regulation/highway-stopping-up-closure-orders</w:t>
        </w:r>
        <w:proofErr w:type="gramStart"/>
        <w:r w:rsidRPr="00BE67C2">
          <w:rPr>
            <w:b w:val="0"/>
            <w:color w:val="0562C1"/>
            <w:spacing w:val="-2"/>
            <w:u w:val="single" w:color="0562C1"/>
          </w:rPr>
          <w:t>?chapter</w:t>
        </w:r>
        <w:proofErr w:type="gramEnd"/>
        <w:r w:rsidRPr="00BE67C2">
          <w:rPr>
            <w:b w:val="0"/>
            <w:color w:val="0562C1"/>
            <w:spacing w:val="-2"/>
            <w:u w:val="single" w:color="0562C1"/>
          </w:rPr>
          <w:t>=4&amp;article</w:t>
        </w:r>
      </w:hyperlink>
      <w:r w:rsidRPr="00BE67C2">
        <w:rPr>
          <w:b w:val="0"/>
          <w:spacing w:val="-2"/>
        </w:rPr>
        <w:t>.</w:t>
      </w:r>
    </w:p>
    <w:p w:rsidR="00530C43" w:rsidRDefault="00530C43">
      <w:pPr>
        <w:pStyle w:val="BodyText"/>
        <w:spacing w:before="1"/>
        <w:rPr>
          <w:sz w:val="16"/>
        </w:rPr>
      </w:pPr>
    </w:p>
    <w:p w:rsidR="00530C43" w:rsidRDefault="00BE67C2">
      <w:pPr>
        <w:pStyle w:val="BodyText"/>
        <w:spacing w:before="92" w:line="256" w:lineRule="auto"/>
        <w:ind w:left="100" w:right="116"/>
        <w:jc w:val="both"/>
      </w:pPr>
      <w:proofErr w:type="gramStart"/>
      <w:r>
        <w:t>Any</w:t>
      </w:r>
      <w:r>
        <w:rPr>
          <w:spacing w:val="-1"/>
        </w:rPr>
        <w:t xml:space="preserve"> </w:t>
      </w:r>
      <w:r>
        <w:t>person aggrieved by</w:t>
      </w:r>
      <w:r>
        <w:rPr>
          <w:spacing w:val="-1"/>
        </w:rPr>
        <w:t xml:space="preserve"> </w:t>
      </w:r>
      <w:r>
        <w:t>the Order and desiring to question</w:t>
      </w:r>
      <w:r>
        <w:t xml:space="preserve"> the validity</w:t>
      </w:r>
      <w:r>
        <w:rPr>
          <w:spacing w:val="-1"/>
        </w:rPr>
        <w:t xml:space="preserve"> </w:t>
      </w:r>
      <w:r>
        <w:t>thereof, or of any provision contained therein, on the ground that it is not within the powers of the above Act or that any regulation made thereunder has not been complied with in relation to the Order may, within 6 weeks of 25</w:t>
      </w:r>
      <w:proofErr w:type="spellStart"/>
      <w:r>
        <w:rPr>
          <w:position w:val="8"/>
          <w:sz w:val="16"/>
        </w:rPr>
        <w:t>th</w:t>
      </w:r>
      <w:proofErr w:type="spellEnd"/>
      <w:r>
        <w:rPr>
          <w:spacing w:val="29"/>
          <w:position w:val="8"/>
          <w:sz w:val="16"/>
        </w:rPr>
        <w:t xml:space="preserve"> </w:t>
      </w:r>
      <w:r>
        <w:t>August, app</w:t>
      </w:r>
      <w:r>
        <w:t>ly to the High Court for the suspension or quashing of the Order or of any provision contained herein.</w:t>
      </w:r>
      <w:proofErr w:type="gramEnd"/>
    </w:p>
    <w:p w:rsidR="00530C43" w:rsidRDefault="00530C43">
      <w:pPr>
        <w:pStyle w:val="BodyText"/>
        <w:rPr>
          <w:sz w:val="20"/>
        </w:rPr>
      </w:pPr>
    </w:p>
    <w:p w:rsidR="00530C43" w:rsidRDefault="00BE67C2">
      <w:pPr>
        <w:pStyle w:val="BodyText"/>
        <w:spacing w:before="6"/>
        <w:rPr>
          <w:sz w:val="16"/>
        </w:rPr>
      </w:pPr>
      <w:r>
        <w:rPr>
          <w:noProof/>
          <w:lang w:val="en-GB" w:eastAsia="en-GB"/>
        </w:rPr>
        <w:drawing>
          <wp:anchor distT="0" distB="0" distL="0" distR="0" simplePos="0" relativeHeight="251658240" behindDoc="0" locked="0" layoutInCell="1" allowOverlap="1">
            <wp:simplePos x="0" y="0"/>
            <wp:positionH relativeFrom="page">
              <wp:posOffset>914400</wp:posOffset>
            </wp:positionH>
            <wp:positionV relativeFrom="paragraph">
              <wp:posOffset>136071</wp:posOffset>
            </wp:positionV>
            <wp:extent cx="1220211" cy="352425"/>
            <wp:effectExtent l="0" t="0" r="0" b="0"/>
            <wp:wrapTopAndBottom/>
            <wp:docPr id="1" name="image1.jpeg"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20211" cy="352425"/>
                    </a:xfrm>
                    <a:prstGeom prst="rect">
                      <a:avLst/>
                    </a:prstGeom>
                  </pic:spPr>
                </pic:pic>
              </a:graphicData>
            </a:graphic>
          </wp:anchor>
        </w:drawing>
      </w:r>
    </w:p>
    <w:p w:rsidR="00530C43" w:rsidRDefault="00530C43">
      <w:pPr>
        <w:pStyle w:val="BodyText"/>
        <w:rPr>
          <w:sz w:val="26"/>
        </w:rPr>
      </w:pPr>
    </w:p>
    <w:p w:rsidR="00530C43" w:rsidRDefault="00530C43">
      <w:pPr>
        <w:pStyle w:val="BodyText"/>
        <w:spacing w:before="2"/>
        <w:rPr>
          <w:sz w:val="23"/>
        </w:rPr>
      </w:pPr>
    </w:p>
    <w:p w:rsidR="00BE67C2" w:rsidRDefault="00BE67C2" w:rsidP="00BE67C2">
      <w:pPr>
        <w:pStyle w:val="Heading1"/>
        <w:jc w:val="left"/>
      </w:pPr>
      <w:r w:rsidRPr="00BE67C2">
        <w:t xml:space="preserve">Doreen Forrester-Brown </w:t>
      </w:r>
    </w:p>
    <w:p w:rsidR="00530C43" w:rsidRPr="00BE67C2" w:rsidRDefault="00BE67C2" w:rsidP="00BE67C2">
      <w:pPr>
        <w:pStyle w:val="Heading1"/>
        <w:jc w:val="left"/>
      </w:pPr>
      <w:r w:rsidRPr="00BE67C2">
        <w:t>Director</w:t>
      </w:r>
      <w:r w:rsidRPr="00BE67C2">
        <w:t xml:space="preserve"> </w:t>
      </w:r>
      <w:r w:rsidRPr="00BE67C2">
        <w:t>of</w:t>
      </w:r>
      <w:r w:rsidRPr="00BE67C2">
        <w:t xml:space="preserve"> </w:t>
      </w:r>
      <w:r w:rsidRPr="00BE67C2">
        <w:t>Legal</w:t>
      </w:r>
      <w:r w:rsidRPr="00BE67C2">
        <w:t xml:space="preserve"> </w:t>
      </w:r>
      <w:r w:rsidRPr="00BE67C2">
        <w:t>Services</w:t>
      </w:r>
    </w:p>
    <w:p w:rsidR="00530C43" w:rsidRDefault="00530C43">
      <w:pPr>
        <w:sectPr w:rsidR="00530C43">
          <w:type w:val="continuous"/>
          <w:pgSz w:w="11910" w:h="16840"/>
          <w:pgMar w:top="1620" w:right="1320" w:bottom="280" w:left="1340" w:header="720" w:footer="720" w:gutter="0"/>
          <w:cols w:space="720"/>
        </w:sectPr>
      </w:pPr>
    </w:p>
    <w:p w:rsidR="00530C43" w:rsidRDefault="00BE67C2" w:rsidP="00BE67C2">
      <w:pPr>
        <w:pStyle w:val="Heading1"/>
      </w:pPr>
      <w:r>
        <w:lastRenderedPageBreak/>
        <w:t>THE</w:t>
      </w:r>
      <w:r>
        <w:rPr>
          <w:spacing w:val="-7"/>
        </w:rPr>
        <w:t xml:space="preserve"> </w:t>
      </w:r>
      <w:r>
        <w:t>SCHEDULE</w:t>
      </w:r>
    </w:p>
    <w:p w:rsidR="00530C43" w:rsidRDefault="00BE67C2" w:rsidP="00BE67C2">
      <w:pPr>
        <w:spacing w:before="181"/>
        <w:ind w:left="100" w:right="144"/>
        <w:jc w:val="both"/>
        <w:rPr>
          <w:i/>
          <w:sz w:val="24"/>
        </w:rPr>
      </w:pPr>
      <w:proofErr w:type="gramStart"/>
      <w:r>
        <w:rPr>
          <w:i/>
          <w:sz w:val="24"/>
        </w:rPr>
        <w:t>‘Application</w:t>
      </w:r>
      <w:r>
        <w:rPr>
          <w:i/>
          <w:spacing w:val="-5"/>
          <w:sz w:val="24"/>
        </w:rPr>
        <w:t xml:space="preserve"> </w:t>
      </w:r>
      <w:r>
        <w:rPr>
          <w:i/>
          <w:sz w:val="24"/>
        </w:rPr>
        <w:t>for</w:t>
      </w:r>
      <w:r>
        <w:rPr>
          <w:i/>
          <w:spacing w:val="-5"/>
          <w:sz w:val="24"/>
        </w:rPr>
        <w:t xml:space="preserve"> </w:t>
      </w:r>
      <w:r>
        <w:rPr>
          <w:i/>
          <w:sz w:val="24"/>
        </w:rPr>
        <w:t>the</w:t>
      </w:r>
      <w:r>
        <w:rPr>
          <w:i/>
          <w:spacing w:val="-7"/>
          <w:sz w:val="24"/>
        </w:rPr>
        <w:t xml:space="preserve"> </w:t>
      </w:r>
      <w:r>
        <w:rPr>
          <w:i/>
          <w:sz w:val="24"/>
        </w:rPr>
        <w:t>approval</w:t>
      </w:r>
      <w:r>
        <w:rPr>
          <w:i/>
          <w:spacing w:val="-6"/>
          <w:sz w:val="24"/>
        </w:rPr>
        <w:t xml:space="preserve"> </w:t>
      </w:r>
      <w:r>
        <w:rPr>
          <w:i/>
          <w:sz w:val="24"/>
        </w:rPr>
        <w:t>of</w:t>
      </w:r>
      <w:r>
        <w:rPr>
          <w:i/>
          <w:spacing w:val="-5"/>
          <w:sz w:val="24"/>
        </w:rPr>
        <w:t xml:space="preserve"> </w:t>
      </w:r>
      <w:r>
        <w:rPr>
          <w:i/>
          <w:sz w:val="24"/>
        </w:rPr>
        <w:t>reserved</w:t>
      </w:r>
      <w:r>
        <w:rPr>
          <w:i/>
          <w:spacing w:val="-4"/>
          <w:sz w:val="24"/>
        </w:rPr>
        <w:t xml:space="preserve"> </w:t>
      </w:r>
      <w:r>
        <w:rPr>
          <w:i/>
          <w:sz w:val="24"/>
        </w:rPr>
        <w:t>matters</w:t>
      </w:r>
      <w:r>
        <w:rPr>
          <w:i/>
          <w:spacing w:val="-5"/>
          <w:sz w:val="24"/>
        </w:rPr>
        <w:t xml:space="preserve"> </w:t>
      </w:r>
      <w:r>
        <w:rPr>
          <w:i/>
          <w:sz w:val="24"/>
        </w:rPr>
        <w:t>(Access,</w:t>
      </w:r>
      <w:r>
        <w:rPr>
          <w:i/>
          <w:spacing w:val="-5"/>
          <w:sz w:val="24"/>
        </w:rPr>
        <w:t xml:space="preserve"> </w:t>
      </w:r>
      <w:r>
        <w:rPr>
          <w:i/>
          <w:sz w:val="24"/>
        </w:rPr>
        <w:t>Appearance,</w:t>
      </w:r>
      <w:r>
        <w:rPr>
          <w:i/>
          <w:spacing w:val="-5"/>
          <w:sz w:val="24"/>
        </w:rPr>
        <w:t xml:space="preserve"> </w:t>
      </w:r>
      <w:r>
        <w:rPr>
          <w:i/>
          <w:sz w:val="24"/>
        </w:rPr>
        <w:t>Landscaping, Layout and Scale) in relation to Canada Dock and land adjacent to zone D pursuant to hybrid planning permission ref. 18/AP/1604 dated 29th May 2020, relating to the re-development of Canada Dock, including the re-grading and re-pla</w:t>
      </w:r>
      <w:r>
        <w:rPr>
          <w:i/>
          <w:sz w:val="24"/>
        </w:rPr>
        <w:t>nting of the SINC, construction of a new boardwalk, construction of steps and accessible slopes along the southern edge and associated public realm, informal play space and landscape improvements.’</w:t>
      </w:r>
      <w:proofErr w:type="gramEnd"/>
    </w:p>
    <w:sectPr w:rsidR="00530C43">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926FB"/>
    <w:multiLevelType w:val="hybridMultilevel"/>
    <w:tmpl w:val="41780D30"/>
    <w:lvl w:ilvl="0" w:tplc="4182A55E">
      <w:start w:val="1"/>
      <w:numFmt w:val="decimal"/>
      <w:lvlText w:val="%1."/>
      <w:lvlJc w:val="left"/>
      <w:pPr>
        <w:ind w:left="820" w:hanging="360"/>
      </w:pPr>
      <w:rPr>
        <w:rFonts w:ascii="Arial" w:eastAsia="Arial" w:hAnsi="Arial" w:cs="Arial" w:hint="default"/>
        <w:b w:val="0"/>
        <w:bCs w:val="0"/>
        <w:i/>
        <w:iCs/>
        <w:w w:val="100"/>
        <w:sz w:val="24"/>
        <w:szCs w:val="24"/>
        <w:lang w:val="en-US" w:eastAsia="en-US" w:bidi="ar-SA"/>
      </w:rPr>
    </w:lvl>
    <w:lvl w:ilvl="1" w:tplc="90126D42">
      <w:numFmt w:val="bullet"/>
      <w:lvlText w:val="•"/>
      <w:lvlJc w:val="left"/>
      <w:pPr>
        <w:ind w:left="1662" w:hanging="360"/>
      </w:pPr>
      <w:rPr>
        <w:rFonts w:hint="default"/>
        <w:lang w:val="en-US" w:eastAsia="en-US" w:bidi="ar-SA"/>
      </w:rPr>
    </w:lvl>
    <w:lvl w:ilvl="2" w:tplc="01EE518C">
      <w:numFmt w:val="bullet"/>
      <w:lvlText w:val="•"/>
      <w:lvlJc w:val="left"/>
      <w:pPr>
        <w:ind w:left="2505" w:hanging="360"/>
      </w:pPr>
      <w:rPr>
        <w:rFonts w:hint="default"/>
        <w:lang w:val="en-US" w:eastAsia="en-US" w:bidi="ar-SA"/>
      </w:rPr>
    </w:lvl>
    <w:lvl w:ilvl="3" w:tplc="0308CC32">
      <w:numFmt w:val="bullet"/>
      <w:lvlText w:val="•"/>
      <w:lvlJc w:val="left"/>
      <w:pPr>
        <w:ind w:left="3347" w:hanging="360"/>
      </w:pPr>
      <w:rPr>
        <w:rFonts w:hint="default"/>
        <w:lang w:val="en-US" w:eastAsia="en-US" w:bidi="ar-SA"/>
      </w:rPr>
    </w:lvl>
    <w:lvl w:ilvl="4" w:tplc="25FEE4AC">
      <w:numFmt w:val="bullet"/>
      <w:lvlText w:val="•"/>
      <w:lvlJc w:val="left"/>
      <w:pPr>
        <w:ind w:left="4190" w:hanging="360"/>
      </w:pPr>
      <w:rPr>
        <w:rFonts w:hint="default"/>
        <w:lang w:val="en-US" w:eastAsia="en-US" w:bidi="ar-SA"/>
      </w:rPr>
    </w:lvl>
    <w:lvl w:ilvl="5" w:tplc="42181E40">
      <w:numFmt w:val="bullet"/>
      <w:lvlText w:val="•"/>
      <w:lvlJc w:val="left"/>
      <w:pPr>
        <w:ind w:left="5033" w:hanging="360"/>
      </w:pPr>
      <w:rPr>
        <w:rFonts w:hint="default"/>
        <w:lang w:val="en-US" w:eastAsia="en-US" w:bidi="ar-SA"/>
      </w:rPr>
    </w:lvl>
    <w:lvl w:ilvl="6" w:tplc="C31A6598">
      <w:numFmt w:val="bullet"/>
      <w:lvlText w:val="•"/>
      <w:lvlJc w:val="left"/>
      <w:pPr>
        <w:ind w:left="5875" w:hanging="360"/>
      </w:pPr>
      <w:rPr>
        <w:rFonts w:hint="default"/>
        <w:lang w:val="en-US" w:eastAsia="en-US" w:bidi="ar-SA"/>
      </w:rPr>
    </w:lvl>
    <w:lvl w:ilvl="7" w:tplc="FE582368">
      <w:numFmt w:val="bullet"/>
      <w:lvlText w:val="•"/>
      <w:lvlJc w:val="left"/>
      <w:pPr>
        <w:ind w:left="6718" w:hanging="360"/>
      </w:pPr>
      <w:rPr>
        <w:rFonts w:hint="default"/>
        <w:lang w:val="en-US" w:eastAsia="en-US" w:bidi="ar-SA"/>
      </w:rPr>
    </w:lvl>
    <w:lvl w:ilvl="8" w:tplc="CA7A2750">
      <w:numFmt w:val="bullet"/>
      <w:lvlText w:val="•"/>
      <w:lvlJc w:val="left"/>
      <w:pPr>
        <w:ind w:left="756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docVars>
    <w:docVar w:name="Encrypted_CloudStatistics_StoryID" w:val="7n/LJ5b7AaZiD4mKQyw73VODbtz/oZfaAULUHiTzrTjLCmzYYfQdDTuyzglAcIph"/>
  </w:docVars>
  <w:rsids>
    <w:rsidRoot w:val="00530C43"/>
    <w:rsid w:val="00530C43"/>
    <w:rsid w:val="00BE6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9EAA"/>
  <w15:docId w15:val="{449029CC-629E-470A-83C8-18B3A209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21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uthwark.gov.uk/transport-and-roads/traffic-orders-licensing-strategies-and-regulation/highway-stopping-up-closure-orders?chapter=4&amp;article" TargetMode="External"/><Relationship Id="rId5" Type="http://schemas.openxmlformats.org/officeDocument/2006/relationships/hyperlink" Target="https://www.southwark.gov.uk/transport-and-roads/traffic-orders-licensing-strategies-and-regulation/highway-stopping-up-closure-orders?chapter=4&amp;artic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488</Words>
  <Characters>2490</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Canada Water Dock Confired Notice</dc:title>
  <dc:creator>Warby, Steve</dc:creator>
  <cp:lastModifiedBy>Anthony Moony</cp:lastModifiedBy>
  <cp:revision>2</cp:revision>
  <dcterms:created xsi:type="dcterms:W3CDTF">2022-08-23T14:45:00Z</dcterms:created>
  <dcterms:modified xsi:type="dcterms:W3CDTF">2022-08-23T14:51:00Z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Microsoft® Word 2016</vt:lpwstr>
  </property>
  <property fmtid="{D5CDD505-2E9C-101B-9397-08002B2CF9AE}" pid="4" name="LastSaved">
    <vt:filetime>2022-08-23T00:00:00Z</vt:filetime>
  </property>
  <property fmtid="{D5CDD505-2E9C-101B-9397-08002B2CF9AE}" pid="5" name="Producer">
    <vt:lpwstr>Microsoft® Word 2016</vt:lpwstr>
  </property>
</Properties>
</file>